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9871B" w14:textId="49DCC439" w:rsidR="001075D4" w:rsidRDefault="001075D4" w:rsidP="001075D4">
      <w:pPr>
        <w:ind w:right="43"/>
        <w:rPr>
          <w:rFonts w:ascii="Arial" w:hAnsi="Arial" w:cs="Arial"/>
          <w:noProof/>
          <w:sz w:val="20"/>
          <w:szCs w:val="20"/>
        </w:rPr>
      </w:pPr>
    </w:p>
    <w:p w14:paraId="3560A62F" w14:textId="57D42CFE" w:rsidR="0059777E" w:rsidRDefault="0059777E" w:rsidP="001075D4">
      <w:pPr>
        <w:ind w:right="43"/>
        <w:rPr>
          <w:rFonts w:ascii="Arial" w:hAnsi="Arial" w:cs="Arial"/>
          <w:noProof/>
          <w:sz w:val="20"/>
          <w:szCs w:val="20"/>
        </w:rPr>
      </w:pPr>
    </w:p>
    <w:p w14:paraId="01CEF6E7" w14:textId="5CD4E2BF" w:rsidR="0059777E" w:rsidRPr="0059777E" w:rsidRDefault="0059777E" w:rsidP="001075D4">
      <w:pPr>
        <w:ind w:right="43"/>
        <w:rPr>
          <w:rFonts w:ascii="Arial" w:hAnsi="Arial" w:cs="Arial"/>
          <w:noProof/>
          <w:sz w:val="21"/>
          <w:szCs w:val="21"/>
        </w:rPr>
      </w:pPr>
      <w:r w:rsidRPr="0059777E">
        <w:rPr>
          <w:rFonts w:ascii="Arial" w:hAnsi="Arial" w:cs="Arial"/>
          <w:noProof/>
          <w:sz w:val="21"/>
          <w:szCs w:val="21"/>
        </w:rPr>
        <w:t>2</w:t>
      </w:r>
      <w:r w:rsidRPr="0059777E">
        <w:rPr>
          <w:rFonts w:ascii="Arial" w:hAnsi="Arial" w:cs="Arial"/>
          <w:noProof/>
          <w:sz w:val="21"/>
          <w:szCs w:val="21"/>
          <w:vertAlign w:val="superscript"/>
        </w:rPr>
        <w:t>nd</w:t>
      </w:r>
      <w:r w:rsidRPr="0059777E">
        <w:rPr>
          <w:rFonts w:ascii="Arial" w:hAnsi="Arial" w:cs="Arial"/>
          <w:noProof/>
          <w:sz w:val="21"/>
          <w:szCs w:val="21"/>
        </w:rPr>
        <w:t xml:space="preserve"> March, 2021</w:t>
      </w:r>
    </w:p>
    <w:p w14:paraId="6E0B8ED7" w14:textId="4C73C158" w:rsidR="0059777E" w:rsidRDefault="0059777E" w:rsidP="001075D4">
      <w:pPr>
        <w:ind w:right="43"/>
        <w:rPr>
          <w:rFonts w:ascii="Arial" w:hAnsi="Arial" w:cs="Arial"/>
          <w:noProof/>
          <w:sz w:val="20"/>
          <w:szCs w:val="20"/>
        </w:rPr>
      </w:pPr>
    </w:p>
    <w:p w14:paraId="71976107" w14:textId="77777777" w:rsidR="0059777E" w:rsidRDefault="0059777E" w:rsidP="0059777E">
      <w:pPr>
        <w:ind w:right="43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GDPR and Mallory:</w:t>
      </w:r>
    </w:p>
    <w:p w14:paraId="577237C3" w14:textId="77777777" w:rsidR="0059777E" w:rsidRDefault="0059777E" w:rsidP="0059777E">
      <w:pPr>
        <w:ind w:right="43"/>
        <w:rPr>
          <w:rFonts w:ascii="Arial" w:hAnsi="Arial" w:cs="Arial"/>
          <w:b/>
          <w:bCs/>
          <w:sz w:val="21"/>
          <w:szCs w:val="21"/>
        </w:rPr>
      </w:pPr>
    </w:p>
    <w:p w14:paraId="53D2152C" w14:textId="77777777" w:rsidR="0059777E" w:rsidRDefault="0059777E" w:rsidP="0059777E">
      <w:pPr>
        <w:pStyle w:val="ListParagraph"/>
        <w:numPr>
          <w:ilvl w:val="0"/>
          <w:numId w:val="1"/>
        </w:numPr>
        <w:spacing w:after="120"/>
        <w:ind w:left="357" w:right="45" w:hanging="357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Evaluation and risk.</w:t>
      </w:r>
    </w:p>
    <w:p w14:paraId="3D8310F3" w14:textId="0DC5B9AA" w:rsidR="0059777E" w:rsidRDefault="0059777E" w:rsidP="0059777E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Mallory International MIE (MIE) </w:t>
      </w:r>
      <w:r w:rsidR="00681A4B">
        <w:rPr>
          <w:rFonts w:ascii="Arial" w:hAnsi="Arial" w:cs="Arial"/>
          <w:sz w:val="21"/>
          <w:szCs w:val="21"/>
        </w:rPr>
        <w:t xml:space="preserve">and its subsidiaries Mallory International Ltd. (MIL) and Mallory International MIC spa (MIC) </w:t>
      </w:r>
      <w:r>
        <w:rPr>
          <w:rFonts w:ascii="Arial" w:hAnsi="Arial" w:cs="Arial"/>
          <w:sz w:val="21"/>
          <w:szCs w:val="21"/>
        </w:rPr>
        <w:t xml:space="preserve">sell almost entirely to institutions and organisations. Where it </w:t>
      </w:r>
      <w:r w:rsidR="00D7513A">
        <w:rPr>
          <w:rFonts w:ascii="Arial" w:hAnsi="Arial" w:cs="Arial"/>
          <w:sz w:val="21"/>
          <w:szCs w:val="21"/>
        </w:rPr>
        <w:t>holds information about</w:t>
      </w:r>
      <w:r>
        <w:rPr>
          <w:rFonts w:ascii="Arial" w:hAnsi="Arial" w:cs="Arial"/>
          <w:sz w:val="21"/>
          <w:szCs w:val="21"/>
        </w:rPr>
        <w:t xml:space="preserve"> individuals, that is normally in their work capacity. </w:t>
      </w:r>
      <w:r w:rsidR="004B71F3">
        <w:rPr>
          <w:rFonts w:ascii="Arial" w:hAnsi="Arial" w:cs="Arial"/>
          <w:sz w:val="21"/>
          <w:szCs w:val="21"/>
        </w:rPr>
        <w:t xml:space="preserve">We do not hold home addresses or private details, though we may have mobile numbers. </w:t>
      </w:r>
    </w:p>
    <w:p w14:paraId="682E1D8E" w14:textId="0EA51909" w:rsidR="0059777E" w:rsidRDefault="0059777E" w:rsidP="0059777E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But circumstances have arisen where our contractual obligations </w:t>
      </w:r>
      <w:r w:rsidR="004B71F3">
        <w:rPr>
          <w:rFonts w:ascii="Arial" w:hAnsi="Arial" w:cs="Arial"/>
          <w:sz w:val="21"/>
          <w:szCs w:val="21"/>
        </w:rPr>
        <w:t xml:space="preserve">require holding basic details for individuals, in particular </w:t>
      </w:r>
      <w:r w:rsidR="00D7513A">
        <w:rPr>
          <w:rFonts w:ascii="Arial" w:hAnsi="Arial" w:cs="Arial"/>
          <w:sz w:val="21"/>
          <w:szCs w:val="21"/>
        </w:rPr>
        <w:t xml:space="preserve">parents and families at schools we supply. Sometimes we need to </w:t>
      </w:r>
      <w:r w:rsidR="004B71F3">
        <w:rPr>
          <w:rFonts w:ascii="Arial" w:hAnsi="Arial" w:cs="Arial"/>
          <w:sz w:val="21"/>
          <w:szCs w:val="21"/>
        </w:rPr>
        <w:t xml:space="preserve">dispatch </w:t>
      </w:r>
      <w:r w:rsidR="00D7513A">
        <w:rPr>
          <w:rFonts w:ascii="Arial" w:hAnsi="Arial" w:cs="Arial"/>
          <w:sz w:val="21"/>
          <w:szCs w:val="21"/>
        </w:rPr>
        <w:t>direct</w:t>
      </w:r>
      <w:r w:rsidR="004B71F3">
        <w:rPr>
          <w:rFonts w:ascii="Arial" w:hAnsi="Arial" w:cs="Arial"/>
          <w:sz w:val="21"/>
          <w:szCs w:val="21"/>
        </w:rPr>
        <w:t xml:space="preserve"> </w:t>
      </w:r>
      <w:r w:rsidR="00D7513A">
        <w:rPr>
          <w:rFonts w:ascii="Arial" w:hAnsi="Arial" w:cs="Arial"/>
          <w:sz w:val="21"/>
          <w:szCs w:val="21"/>
        </w:rPr>
        <w:t>to these individuals</w:t>
      </w:r>
      <w:r w:rsidR="004B71F3">
        <w:rPr>
          <w:rFonts w:ascii="Arial" w:hAnsi="Arial" w:cs="Arial"/>
          <w:sz w:val="21"/>
          <w:szCs w:val="21"/>
        </w:rPr>
        <w:t>. At present, payment is mad</w:t>
      </w:r>
      <w:r w:rsidR="00D7513A">
        <w:rPr>
          <w:rFonts w:ascii="Arial" w:hAnsi="Arial" w:cs="Arial"/>
          <w:sz w:val="21"/>
          <w:szCs w:val="21"/>
        </w:rPr>
        <w:t>e</w:t>
      </w:r>
      <w:r w:rsidR="004B71F3">
        <w:rPr>
          <w:rFonts w:ascii="Arial" w:hAnsi="Arial" w:cs="Arial"/>
          <w:sz w:val="21"/>
          <w:szCs w:val="21"/>
        </w:rPr>
        <w:t xml:space="preserve"> by the school, so we only need names, addresses and contact phone numbers.</w:t>
      </w:r>
    </w:p>
    <w:p w14:paraId="268846F5" w14:textId="4464266D" w:rsidR="004B71F3" w:rsidRDefault="004B71F3" w:rsidP="0059777E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 are developing a virtual book fair product for schools, which would take payment direct from parents, but payment details would be handled by a third party merchant, and </w:t>
      </w:r>
      <w:r w:rsidR="00D7513A">
        <w:rPr>
          <w:rFonts w:ascii="Arial" w:hAnsi="Arial" w:cs="Arial"/>
          <w:sz w:val="21"/>
          <w:szCs w:val="21"/>
        </w:rPr>
        <w:t>Mallory</w:t>
      </w:r>
      <w:r>
        <w:rPr>
          <w:rFonts w:ascii="Arial" w:hAnsi="Arial" w:cs="Arial"/>
          <w:sz w:val="21"/>
          <w:szCs w:val="21"/>
        </w:rPr>
        <w:t xml:space="preserve"> would hold no payment information. </w:t>
      </w:r>
    </w:p>
    <w:p w14:paraId="7E9D0862" w14:textId="77FE9BE0" w:rsidR="004B71F3" w:rsidRDefault="004B71F3" w:rsidP="0059777E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have a Cardnet machine, which some organisations use for payment. Occasionally the organisation will use a personal credit card. No card details are retained by MIE.</w:t>
      </w:r>
    </w:p>
    <w:p w14:paraId="7DAEE119" w14:textId="4D515E47" w:rsidR="00213FC3" w:rsidRDefault="00213FC3" w:rsidP="0059777E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Companies hold significant personal data in regard to their own staff.</w:t>
      </w:r>
    </w:p>
    <w:p w14:paraId="7B1489BB" w14:textId="6D9BEE2B" w:rsidR="0059777E" w:rsidRDefault="00681A4B" w:rsidP="00681A4B">
      <w:pPr>
        <w:pStyle w:val="ListParagraph"/>
        <w:numPr>
          <w:ilvl w:val="0"/>
          <w:numId w:val="1"/>
        </w:numPr>
        <w:spacing w:after="120"/>
        <w:ind w:left="357" w:right="45" w:hanging="357"/>
        <w:contextualSpacing w:val="0"/>
        <w:rPr>
          <w:rFonts w:ascii="Arial" w:hAnsi="Arial" w:cs="Arial"/>
          <w:sz w:val="21"/>
          <w:szCs w:val="21"/>
        </w:rPr>
      </w:pPr>
      <w:r w:rsidRPr="00681A4B">
        <w:rPr>
          <w:rFonts w:ascii="Arial" w:hAnsi="Arial" w:cs="Arial"/>
          <w:sz w:val="21"/>
          <w:szCs w:val="21"/>
        </w:rPr>
        <w:t xml:space="preserve">Data Control for the Group is the responsibility of the Director (Services), a main board position, who arranges the necessary documentation </w:t>
      </w:r>
      <w:r w:rsidR="0059777E" w:rsidRPr="00681A4B">
        <w:rPr>
          <w:rFonts w:ascii="Arial" w:hAnsi="Arial" w:cs="Arial"/>
          <w:sz w:val="21"/>
          <w:szCs w:val="21"/>
        </w:rPr>
        <w:t>under Article 30(1) of the UK GDPR.</w:t>
      </w:r>
    </w:p>
    <w:p w14:paraId="13838B11" w14:textId="3DA960F6" w:rsidR="0059777E" w:rsidRDefault="00681A4B" w:rsidP="00681A4B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Accounts staff working for her carry out processing, and documentation </w:t>
      </w:r>
      <w:r w:rsidR="0059777E" w:rsidRPr="00681A4B">
        <w:rPr>
          <w:rFonts w:ascii="Arial" w:hAnsi="Arial" w:cs="Arial"/>
          <w:sz w:val="21"/>
          <w:szCs w:val="21"/>
        </w:rPr>
        <w:t>under Article 30(2) of the UK GDPR.</w:t>
      </w:r>
    </w:p>
    <w:p w14:paraId="25F98FDD" w14:textId="4C874743" w:rsidR="00040263" w:rsidRPr="00213FC3" w:rsidRDefault="00040263" w:rsidP="00213FC3">
      <w:pPr>
        <w:pStyle w:val="ListParagraph"/>
        <w:numPr>
          <w:ilvl w:val="1"/>
          <w:numId w:val="1"/>
        </w:numPr>
        <w:spacing w:after="120"/>
        <w:ind w:left="788" w:hanging="431"/>
        <w:contextualSpacing w:val="0"/>
        <w:rPr>
          <w:rFonts w:ascii="Arial" w:hAnsi="Arial" w:cs="Arial"/>
          <w:sz w:val="21"/>
          <w:szCs w:val="21"/>
        </w:rPr>
      </w:pPr>
      <w:r w:rsidRPr="00213FC3">
        <w:rPr>
          <w:rFonts w:ascii="Arial" w:hAnsi="Arial" w:cs="Arial"/>
          <w:sz w:val="21"/>
          <w:szCs w:val="21"/>
        </w:rPr>
        <w:t xml:space="preserve">Payroll and other internal company procedures are reviewed periodically to ensure GPDR compliance. </w:t>
      </w:r>
      <w:r w:rsidR="00213FC3" w:rsidRPr="00213FC3">
        <w:rPr>
          <w:rFonts w:ascii="Arial" w:hAnsi="Arial" w:cs="Arial"/>
          <w:sz w:val="21"/>
          <w:szCs w:val="21"/>
        </w:rPr>
        <w:t xml:space="preserve">Payroll and staff data are maintained in secure electronic folders, with access on a need-to-know basis. Training in GDPR procedures is given to personnel who have access. </w:t>
      </w:r>
    </w:p>
    <w:p w14:paraId="45E8EE12" w14:textId="2130EA4C" w:rsidR="00681A4B" w:rsidRDefault="00681A4B" w:rsidP="00681A4B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Information audits are conducted from time to time, but at least annually.</w:t>
      </w:r>
      <w:r w:rsidR="00040263">
        <w:rPr>
          <w:rFonts w:ascii="Arial" w:hAnsi="Arial" w:cs="Arial"/>
          <w:sz w:val="21"/>
          <w:szCs w:val="21"/>
        </w:rPr>
        <w:t xml:space="preserve"> This includes </w:t>
      </w:r>
      <w:r w:rsidR="00040263" w:rsidRPr="00040263">
        <w:rPr>
          <w:rFonts w:ascii="Arial" w:hAnsi="Arial" w:cs="Arial"/>
          <w:sz w:val="21"/>
          <w:szCs w:val="21"/>
        </w:rPr>
        <w:t xml:space="preserve">review </w:t>
      </w:r>
      <w:r w:rsidR="00040263">
        <w:rPr>
          <w:rFonts w:ascii="Arial" w:hAnsi="Arial" w:cs="Arial"/>
          <w:sz w:val="21"/>
          <w:szCs w:val="21"/>
        </w:rPr>
        <w:t xml:space="preserve">of </w:t>
      </w:r>
      <w:r w:rsidR="00040263" w:rsidRPr="00040263">
        <w:rPr>
          <w:rFonts w:ascii="Arial" w:hAnsi="Arial" w:cs="Arial"/>
          <w:sz w:val="21"/>
          <w:szCs w:val="21"/>
        </w:rPr>
        <w:t>policies, procedures, contracts and agreements to address areas such as retention, security and data sharing</w:t>
      </w:r>
    </w:p>
    <w:p w14:paraId="2929DF99" w14:textId="6C99255F" w:rsidR="00681A4B" w:rsidRDefault="00040263" w:rsidP="00681A4B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Current practice is communicated to and checked with customer facing staff. </w:t>
      </w:r>
    </w:p>
    <w:p w14:paraId="4A3B9D74" w14:textId="54686898" w:rsidR="00040263" w:rsidRDefault="00040263" w:rsidP="00681A4B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Privacy notices are reviewed periodically, and in particular at the date of a change in procedures. </w:t>
      </w:r>
    </w:p>
    <w:p w14:paraId="44817413" w14:textId="3D5C1E74" w:rsidR="00040263" w:rsidRDefault="00040263" w:rsidP="00681A4B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 are procedures in place to document and review data breaches.</w:t>
      </w:r>
    </w:p>
    <w:p w14:paraId="12091146" w14:textId="790CFC5D" w:rsidR="00040263" w:rsidRPr="00681A4B" w:rsidRDefault="00040263" w:rsidP="00681A4B">
      <w:pPr>
        <w:pStyle w:val="ListParagraph"/>
        <w:numPr>
          <w:ilvl w:val="1"/>
          <w:numId w:val="1"/>
        </w:numPr>
        <w:spacing w:after="120"/>
        <w:ind w:left="788" w:right="45" w:hanging="43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All records are maintained in electronic form. </w:t>
      </w:r>
    </w:p>
    <w:p w14:paraId="5575D036" w14:textId="5B83CCFE" w:rsidR="0059777E" w:rsidRDefault="0059777E" w:rsidP="0059777E">
      <w:pPr>
        <w:ind w:right="43"/>
        <w:rPr>
          <w:rFonts w:ascii="Arial" w:hAnsi="Arial" w:cs="Arial"/>
          <w:sz w:val="21"/>
          <w:szCs w:val="21"/>
        </w:rPr>
      </w:pPr>
    </w:p>
    <w:p w14:paraId="6A5C11E0" w14:textId="129790A9" w:rsidR="00213FC3" w:rsidRDefault="00213FC3" w:rsidP="0059777E">
      <w:pPr>
        <w:ind w:right="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Julian Hardinge. </w:t>
      </w:r>
    </w:p>
    <w:sectPr w:rsidR="00213FC3" w:rsidSect="00763C7D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2943" w:right="1695" w:bottom="1440" w:left="179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00D2" w14:textId="77777777" w:rsidR="004A2148" w:rsidRDefault="004A2148" w:rsidP="00352DC3">
      <w:r>
        <w:separator/>
      </w:r>
    </w:p>
  </w:endnote>
  <w:endnote w:type="continuationSeparator" w:id="0">
    <w:p w14:paraId="6DBFE9E8" w14:textId="77777777" w:rsidR="004A2148" w:rsidRDefault="004A2148" w:rsidP="0035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Stone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3D79" w14:textId="77777777" w:rsidR="00534E4B" w:rsidRPr="00A814E4" w:rsidRDefault="00534E4B" w:rsidP="00352DC3">
    <w:pPr>
      <w:pStyle w:val="Footer"/>
      <w:jc w:val="center"/>
      <w:rPr>
        <w:rFonts w:ascii="2Stone Sans" w:hAnsi="2Stone Sans"/>
        <w:sz w:val="22"/>
        <w:szCs w:val="22"/>
      </w:rPr>
    </w:pPr>
    <w:r w:rsidRPr="00A814E4">
      <w:rPr>
        <w:rStyle w:val="PageNumber"/>
        <w:rFonts w:ascii="2Stone Sans" w:hAnsi="2Stone Sans"/>
        <w:sz w:val="22"/>
        <w:szCs w:val="22"/>
      </w:rPr>
      <w:fldChar w:fldCharType="begin"/>
    </w:r>
    <w:r w:rsidRPr="00A814E4">
      <w:rPr>
        <w:rStyle w:val="PageNumber"/>
        <w:rFonts w:ascii="2Stone Sans" w:hAnsi="2Stone Sans"/>
        <w:sz w:val="22"/>
        <w:szCs w:val="22"/>
      </w:rPr>
      <w:instrText xml:space="preserve"> PAGE </w:instrText>
    </w:r>
    <w:r w:rsidRPr="00A814E4">
      <w:rPr>
        <w:rStyle w:val="PageNumber"/>
        <w:rFonts w:ascii="2Stone Sans" w:hAnsi="2Stone Sans"/>
        <w:sz w:val="22"/>
        <w:szCs w:val="22"/>
      </w:rPr>
      <w:fldChar w:fldCharType="separate"/>
    </w:r>
    <w:r w:rsidR="001075D4">
      <w:rPr>
        <w:rStyle w:val="PageNumber"/>
        <w:rFonts w:ascii="2Stone Sans" w:hAnsi="2Stone Sans"/>
        <w:noProof/>
        <w:sz w:val="22"/>
        <w:szCs w:val="22"/>
      </w:rPr>
      <w:t>2</w:t>
    </w:r>
    <w:r w:rsidRPr="00A814E4">
      <w:rPr>
        <w:rStyle w:val="PageNumber"/>
        <w:rFonts w:ascii="2Stone Sans" w:hAnsi="2Stone Sans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A4EAE" w14:textId="77777777" w:rsidR="00534E4B" w:rsidRPr="006C11E2" w:rsidRDefault="00534E4B" w:rsidP="006C11E2">
    <w:pPr>
      <w:pStyle w:val="Footer"/>
      <w:ind w:hanging="851"/>
      <w:rPr>
        <w:rFonts w:ascii="2Stone Sans" w:hAnsi="2Stone Sans"/>
        <w:color w:val="808080" w:themeColor="background1" w:themeShade="80"/>
        <w:sz w:val="16"/>
        <w:szCs w:val="16"/>
      </w:rPr>
    </w:pPr>
    <w:r>
      <w:rPr>
        <w:rFonts w:ascii="2Stone Sans" w:hAnsi="2Stone Sans"/>
        <w:noProof/>
        <w:color w:val="808080" w:themeColor="background1" w:themeShade="80"/>
        <w:sz w:val="16"/>
        <w:szCs w:val="16"/>
        <w:lang w:val="en-US"/>
      </w:rPr>
      <w:drawing>
        <wp:anchor distT="0" distB="0" distL="114300" distR="114300" simplePos="0" relativeHeight="251668480" behindDoc="0" locked="0" layoutInCell="1" allowOverlap="1" wp14:anchorId="0FE7024D" wp14:editId="2C4FF940">
          <wp:simplePos x="0" y="0"/>
          <wp:positionH relativeFrom="column">
            <wp:posOffset>-386080</wp:posOffset>
          </wp:positionH>
          <wp:positionV relativeFrom="paragraph">
            <wp:posOffset>-356571</wp:posOffset>
          </wp:positionV>
          <wp:extent cx="6112800" cy="38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exmurray:Desktop:Publishing Files:Mallory:Print:Stationary:Letterhead-botto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2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67FF" w14:textId="77777777" w:rsidR="004A2148" w:rsidRDefault="004A2148" w:rsidP="00352DC3">
      <w:r>
        <w:separator/>
      </w:r>
    </w:p>
  </w:footnote>
  <w:footnote w:type="continuationSeparator" w:id="0">
    <w:p w14:paraId="4193925D" w14:textId="77777777" w:rsidR="004A2148" w:rsidRDefault="004A2148" w:rsidP="0035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A00E2" w14:textId="77777777" w:rsidR="00534E4B" w:rsidRDefault="00534E4B">
    <w:pPr>
      <w:pStyle w:val="Header"/>
    </w:pPr>
  </w:p>
  <w:p w14:paraId="15A098D9" w14:textId="77777777" w:rsidR="00534E4B" w:rsidRDefault="008F3EC8" w:rsidP="00A814E4">
    <w:pPr>
      <w:pStyle w:val="Header"/>
      <w:tabs>
        <w:tab w:val="clear" w:pos="8640"/>
        <w:tab w:val="right" w:pos="8505"/>
      </w:tabs>
    </w:pPr>
    <w:r w:rsidRPr="006C11E2">
      <w:rPr>
        <w:rFonts w:ascii="2Stone Sans" w:hAnsi="2Stone Sans"/>
        <w:noProof/>
        <w:lang w:val="en-US"/>
      </w:rPr>
      <w:drawing>
        <wp:anchor distT="0" distB="0" distL="114300" distR="114300" simplePos="0" relativeHeight="251666432" behindDoc="0" locked="0" layoutInCell="1" allowOverlap="1" wp14:anchorId="0E9CA3EE" wp14:editId="2A49A007">
          <wp:simplePos x="0" y="0"/>
          <wp:positionH relativeFrom="margin">
            <wp:posOffset>1706245</wp:posOffset>
          </wp:positionH>
          <wp:positionV relativeFrom="margin">
            <wp:posOffset>-1492250</wp:posOffset>
          </wp:positionV>
          <wp:extent cx="1867535" cy="914400"/>
          <wp:effectExtent l="0" t="0" r="1206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xmurray:Desktop:Publishing Files:Mallory:Print:Stationary:Mallory Logo:Mallory-Logo-MASTE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F4F52" w14:textId="77777777" w:rsidR="00534E4B" w:rsidRPr="006C11E2" w:rsidRDefault="00534E4B" w:rsidP="006C11E2">
    <w:pPr>
      <w:pStyle w:val="Header"/>
      <w:jc w:val="right"/>
      <w:rPr>
        <w:rFonts w:ascii="2Stone Sans" w:hAnsi="2Stone Sans"/>
        <w:color w:val="943634" w:themeColor="accent2" w:themeShade="BF"/>
      </w:rPr>
    </w:pPr>
    <w:r>
      <w:rPr>
        <w:rFonts w:ascii="2Stone Sans" w:hAnsi="2Stone Sans"/>
        <w:noProof/>
        <w:color w:val="943634" w:themeColor="accent2" w:themeShade="BF"/>
        <w:lang w:val="en-US"/>
      </w:rPr>
      <w:drawing>
        <wp:anchor distT="0" distB="0" distL="114300" distR="114300" simplePos="0" relativeHeight="251667456" behindDoc="1" locked="0" layoutInCell="1" allowOverlap="1" wp14:anchorId="658CF9B8" wp14:editId="6C54E521">
          <wp:simplePos x="0" y="0"/>
          <wp:positionH relativeFrom="margin">
            <wp:posOffset>-384810</wp:posOffset>
          </wp:positionH>
          <wp:positionV relativeFrom="margin">
            <wp:posOffset>-1414780</wp:posOffset>
          </wp:positionV>
          <wp:extent cx="6109200" cy="121680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xmurray:Desktop:Publishing Files:Mallory:Print:Stationary:Letterhead-top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92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F23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7E"/>
    <w:rsid w:val="00040263"/>
    <w:rsid w:val="001075D4"/>
    <w:rsid w:val="00213FC3"/>
    <w:rsid w:val="0032153B"/>
    <w:rsid w:val="0032613A"/>
    <w:rsid w:val="00352DC3"/>
    <w:rsid w:val="0043225B"/>
    <w:rsid w:val="004A2148"/>
    <w:rsid w:val="004B71F3"/>
    <w:rsid w:val="00524FBB"/>
    <w:rsid w:val="00534E4B"/>
    <w:rsid w:val="0059777E"/>
    <w:rsid w:val="00641810"/>
    <w:rsid w:val="00681A4B"/>
    <w:rsid w:val="006A285A"/>
    <w:rsid w:val="006C11E2"/>
    <w:rsid w:val="00724649"/>
    <w:rsid w:val="00763C7D"/>
    <w:rsid w:val="00862FDA"/>
    <w:rsid w:val="008D2C35"/>
    <w:rsid w:val="008F007B"/>
    <w:rsid w:val="008F3EC8"/>
    <w:rsid w:val="00916F55"/>
    <w:rsid w:val="00932ED3"/>
    <w:rsid w:val="00A72D01"/>
    <w:rsid w:val="00A814E4"/>
    <w:rsid w:val="00AF7FDD"/>
    <w:rsid w:val="00B376B1"/>
    <w:rsid w:val="00D7513A"/>
    <w:rsid w:val="00DA115C"/>
    <w:rsid w:val="00E00C40"/>
    <w:rsid w:val="00E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B4AA8B"/>
  <w14:defaultImageDpi w14:val="300"/>
  <w15:docId w15:val="{08088C99-EA4E-4943-8C10-4984C117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DC3"/>
  </w:style>
  <w:style w:type="paragraph" w:styleId="Footer">
    <w:name w:val="footer"/>
    <w:basedOn w:val="Normal"/>
    <w:link w:val="FooterChar"/>
    <w:uiPriority w:val="99"/>
    <w:unhideWhenUsed/>
    <w:rsid w:val="00352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DC3"/>
  </w:style>
  <w:style w:type="character" w:styleId="PageNumber">
    <w:name w:val="page number"/>
    <w:basedOn w:val="DefaultParagraphFont"/>
    <w:uiPriority w:val="99"/>
    <w:semiHidden/>
    <w:unhideWhenUsed/>
    <w:rsid w:val="00352DC3"/>
  </w:style>
  <w:style w:type="paragraph" w:styleId="BalloonText">
    <w:name w:val="Balloon Text"/>
    <w:basedOn w:val="Normal"/>
    <w:link w:val="BalloonTextChar"/>
    <w:uiPriority w:val="99"/>
    <w:semiHidden/>
    <w:unhideWhenUsed/>
    <w:rsid w:val="006C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E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Julian\Julian%20Templates\MIE%20Letterhead%2017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A0DF3-6484-4EFF-AF7E-88CE1EB4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MIE Letterhead 1705</Template>
  <TotalTime>62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Hardinge</dc:creator>
  <cp:keywords/>
  <dc:description/>
  <cp:lastModifiedBy>Julian Hardinge</cp:lastModifiedBy>
  <cp:revision>3</cp:revision>
  <cp:lastPrinted>2017-05-02T16:11:00Z</cp:lastPrinted>
  <dcterms:created xsi:type="dcterms:W3CDTF">2021-03-02T14:42:00Z</dcterms:created>
  <dcterms:modified xsi:type="dcterms:W3CDTF">2021-03-02T16:46:00Z</dcterms:modified>
</cp:coreProperties>
</file>